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8C" w:rsidRDefault="00D3098C" w:rsidP="00EE4755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p w:rsidR="00D3098C" w:rsidRDefault="009C23FC" w:rsidP="00EE4755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 FAKÜLTESİ</w:t>
      </w:r>
    </w:p>
    <w:p w:rsidR="00D3098C" w:rsidRDefault="00D3098C" w:rsidP="00EE4755">
      <w:pPr>
        <w:pStyle w:val="KonuBal"/>
        <w:rPr>
          <w:rFonts w:ascii="Times New Roman" w:hAnsi="Times New Roman"/>
          <w:sz w:val="22"/>
          <w:szCs w:val="22"/>
        </w:rPr>
      </w:pPr>
    </w:p>
    <w:p w:rsidR="00D3098C" w:rsidRDefault="009C23FC" w:rsidP="00EE47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D3098C" w:rsidRDefault="00D3098C" w:rsidP="00EE4755">
      <w:pPr>
        <w:jc w:val="center"/>
        <w:rPr>
          <w:b/>
          <w:sz w:val="22"/>
          <w:szCs w:val="22"/>
        </w:rPr>
      </w:pPr>
    </w:p>
    <w:p w:rsidR="00D3098C" w:rsidRDefault="00D3098C" w:rsidP="00EE4755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D3098C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Adı: PSİKİYATRİ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TIP562</w:t>
            </w:r>
          </w:p>
        </w:tc>
      </w:tr>
      <w:tr w:rsidR="00D3098C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AKTS:3 KREDİ:28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D3098C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Teorik+Uygulama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saat/hafta: </w:t>
            </w:r>
            <w:r w:rsidRPr="00164C26">
              <w:rPr>
                <w:sz w:val="22"/>
                <w:szCs w:val="22"/>
              </w:rPr>
              <w:t>3</w:t>
            </w:r>
            <w:r w:rsidR="006C5BAB" w:rsidRPr="00164C26">
              <w:rPr>
                <w:sz w:val="22"/>
                <w:szCs w:val="22"/>
              </w:rPr>
              <w:t>3</w:t>
            </w:r>
            <w:r w:rsidRPr="00164C26">
              <w:rPr>
                <w:sz w:val="22"/>
                <w:szCs w:val="22"/>
              </w:rPr>
              <w:t>+</w:t>
            </w:r>
            <w:r w:rsidR="006C5BAB" w:rsidRPr="00164C26">
              <w:rPr>
                <w:sz w:val="22"/>
                <w:szCs w:val="22"/>
              </w:rPr>
              <w:t>37</w:t>
            </w:r>
            <w:r w:rsidRPr="00164C2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saat/2 hafta</w:t>
            </w:r>
          </w:p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D3098C">
        <w:trPr>
          <w:trHeight w:val="1896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D3098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6C5BAB" w:rsidRPr="00164C26" w:rsidRDefault="006C5BAB" w:rsidP="00EE4755">
            <w:pPr>
              <w:ind w:left="180" w:right="252"/>
              <w:jc w:val="center"/>
              <w:rPr>
                <w:b/>
              </w:rPr>
            </w:pPr>
            <w:r w:rsidRPr="00164C26">
              <w:rPr>
                <w:b/>
              </w:rPr>
              <w:t>Klinik Ders Koordinatörü</w:t>
            </w:r>
          </w:p>
          <w:p w:rsidR="000420F2" w:rsidRPr="00164C26" w:rsidRDefault="000420F2" w:rsidP="00EE4755">
            <w:pPr>
              <w:ind w:left="180" w:right="252"/>
              <w:jc w:val="center"/>
              <w:rPr>
                <w:b/>
              </w:rPr>
            </w:pPr>
          </w:p>
          <w:p w:rsidR="006C5BAB" w:rsidRPr="00164C26" w:rsidRDefault="006C5BAB" w:rsidP="00EE4755">
            <w:pPr>
              <w:ind w:left="180" w:right="252"/>
              <w:jc w:val="center"/>
              <w:rPr>
                <w:b/>
              </w:rPr>
            </w:pPr>
            <w:r w:rsidRPr="00164C26">
              <w:rPr>
                <w:b/>
              </w:rPr>
              <w:t>Doç. Dr. Oya BOZKURT</w:t>
            </w:r>
          </w:p>
          <w:p w:rsidR="006C5BAB" w:rsidRPr="00164C26" w:rsidRDefault="006C5BAB" w:rsidP="00EE4755">
            <w:pPr>
              <w:ind w:left="180" w:right="252"/>
              <w:jc w:val="center"/>
              <w:rPr>
                <w:b/>
              </w:rPr>
            </w:pPr>
          </w:p>
          <w:p w:rsidR="00D3098C" w:rsidRPr="00164C26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64C26">
              <w:rPr>
                <w:rFonts w:eastAsia="Times New Roman"/>
                <w:b/>
                <w:sz w:val="22"/>
                <w:szCs w:val="22"/>
              </w:rPr>
              <w:t>Dersi Veren Öğretim Elemanının Adı Soyadı</w:t>
            </w:r>
          </w:p>
          <w:p w:rsidR="000420F2" w:rsidRPr="000420F2" w:rsidRDefault="000420F2" w:rsidP="00EE4755">
            <w:pPr>
              <w:ind w:left="180" w:right="252"/>
              <w:jc w:val="center"/>
              <w:rPr>
                <w:b/>
              </w:rPr>
            </w:pPr>
            <w:r w:rsidRPr="000420F2">
              <w:rPr>
                <w:b/>
              </w:rPr>
              <w:t>Prof. Dr. İbrahim Balcıoğlu</w:t>
            </w:r>
          </w:p>
          <w:p w:rsidR="006C5BAB" w:rsidRPr="000420F2" w:rsidRDefault="006C5BAB" w:rsidP="00EE4755">
            <w:pPr>
              <w:ind w:left="180" w:right="252"/>
              <w:jc w:val="center"/>
              <w:rPr>
                <w:b/>
              </w:rPr>
            </w:pPr>
            <w:r w:rsidRPr="000420F2">
              <w:rPr>
                <w:b/>
              </w:rPr>
              <w:t>Doç. Dr. Oya BOZKURT</w:t>
            </w:r>
          </w:p>
          <w:p w:rsidR="00D3098C" w:rsidRDefault="00D3098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Pr="00164C26" w:rsidRDefault="009C23FC" w:rsidP="00EE4755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 w:rsidRPr="00164C26"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D3098C" w:rsidRDefault="00D3098C" w:rsidP="00EE4755">
            <w:pPr>
              <w:ind w:left="180" w:right="252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D3098C" w:rsidRDefault="004464C2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hyperlink r:id="rId8" w:history="1">
              <w:r w:rsidR="006C5BAB" w:rsidRPr="00F0641B">
                <w:rPr>
                  <w:rStyle w:val="Kpr"/>
                  <w:sz w:val="22"/>
                  <w:szCs w:val="22"/>
                </w:rPr>
                <w:t>oya.bozkurt@yeniyuzyil.edu.tr</w:t>
              </w:r>
            </w:hyperlink>
          </w:p>
          <w:p w:rsidR="00D3098C" w:rsidRDefault="00D3098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3098C" w:rsidRDefault="009C23FC" w:rsidP="00EE4755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Görüşme Saatleri:  Her gün 15.00-17.00</w:t>
            </w:r>
          </w:p>
          <w:p w:rsidR="00D3098C" w:rsidRDefault="00D3098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98C" w:rsidRDefault="00D3098C" w:rsidP="00EE4755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D3098C" w:rsidRDefault="009C23FC" w:rsidP="00EE4755">
      <w:pPr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Genel Amacı</w:t>
      </w:r>
      <w:r>
        <w:rPr>
          <w:sz w:val="22"/>
          <w:szCs w:val="22"/>
        </w:rPr>
        <w:t xml:space="preserve">: Psikiyatrik öykü almak ve muayene yapmak. Ruhsal rahatsızlıkların tanı, ayırıcı tanı ve tedavisini öğrenmek. </w:t>
      </w:r>
      <w:proofErr w:type="gramStart"/>
      <w:r>
        <w:rPr>
          <w:sz w:val="22"/>
          <w:szCs w:val="22"/>
        </w:rPr>
        <w:t xml:space="preserve">Acil psikiyatrik durumları tanımak ve müdahale etmek. Psikiyatrik bozuklukların önlenmesi konusunda duyarlı olmak, gerekli durumlarda toplumu ve aileyi bilgilendirmek. Psikiyatrik bozukluklarda kullanılan ilaç tedavilerinin temel ilkelerini öğrenmek. </w:t>
      </w:r>
      <w:proofErr w:type="gramEnd"/>
    </w:p>
    <w:p w:rsidR="00D3098C" w:rsidRDefault="009C23FC" w:rsidP="00EE475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D3098C" w:rsidRDefault="00D3098C" w:rsidP="00EE4755">
      <w:pPr>
        <w:jc w:val="both"/>
        <w:rPr>
          <w:b/>
          <w:color w:val="000000"/>
          <w:sz w:val="22"/>
          <w:szCs w:val="22"/>
        </w:rPr>
      </w:pPr>
    </w:p>
    <w:p w:rsidR="00D3098C" w:rsidRDefault="009C23FC" w:rsidP="00EE4755">
      <w:p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 stajı başarıyla tamamlayan öğrencilerimizin</w:t>
      </w:r>
      <w:r>
        <w:rPr>
          <w:b/>
          <w:color w:val="000000"/>
          <w:sz w:val="22"/>
          <w:szCs w:val="22"/>
        </w:rPr>
        <w:t xml:space="preserve">, </w:t>
      </w:r>
    </w:p>
    <w:p w:rsidR="00D3098C" w:rsidRDefault="009C23FC" w:rsidP="00EE47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Psikiyatrik öykü alabilmeleri,</w:t>
      </w:r>
    </w:p>
    <w:p w:rsidR="00D3098C" w:rsidRDefault="009C23FC" w:rsidP="00EE47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Psikiyatrik muayene yapabilmeleri,</w:t>
      </w:r>
    </w:p>
    <w:p w:rsidR="00D3098C" w:rsidRDefault="009C23FC" w:rsidP="00EE475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3. Majör depresif bozukluk tanısı koyabilmeleri, ayırıcı</w:t>
      </w:r>
      <w:r>
        <w:rPr>
          <w:sz w:val="22"/>
          <w:szCs w:val="22"/>
        </w:rPr>
        <w:t xml:space="preserve"> tanısını yapabilmeleri, tedavisini planlayıp izleyebilmeleri, hangi durumda uzmana sevk etmeleri gerektiğini 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Anksiyetesi</w:t>
      </w:r>
      <w:proofErr w:type="spellEnd"/>
      <w:r>
        <w:rPr>
          <w:sz w:val="22"/>
          <w:szCs w:val="22"/>
        </w:rPr>
        <w:t xml:space="preserve"> olan hastaya tanı koyabilmeleri ayırıcı tanısını yapabilmeleri, tedavisini planlayıp izleyebilmeleri, hangi durumda uzmana sevk etmeleri gerektiğini 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5. Panik atağı tanıyarak, panik bozukluk olan hastaların tedavisini planlamaları ve izleyebilmeleri, hangi durumda uzmana sevk etmeleri gerektiğini 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</w:t>
      </w:r>
      <w:proofErr w:type="spellStart"/>
      <w:r>
        <w:rPr>
          <w:sz w:val="22"/>
          <w:szCs w:val="22"/>
        </w:rPr>
        <w:t>Bipolar</w:t>
      </w:r>
      <w:proofErr w:type="spellEnd"/>
      <w:r>
        <w:rPr>
          <w:sz w:val="22"/>
          <w:szCs w:val="22"/>
        </w:rPr>
        <w:t xml:space="preserve"> bozukluğu olan bir hastaya tanı koyabilmeleri, ayırıcı tanısını yapabilmeleri ve acil girişimleri yaparak bir psikiyatri uzmanına yönlendirebilmeleri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7. Kişilik bozuklukları hakkında bilgi sahibi olmaları ve kişilik bozukluğu olan hastalara uygun yaklaşım sergileyerek ve hastayı psikiyatri uzmanına yönlendirebilmeleri,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Psikotik</w:t>
      </w:r>
      <w:proofErr w:type="spellEnd"/>
      <w:r>
        <w:rPr>
          <w:sz w:val="22"/>
          <w:szCs w:val="22"/>
        </w:rPr>
        <w:t xml:space="preserve"> bozukluğu olan bir hastaya tanı koyarak, ayırıcı tanısını yapabilmeleri ve acil girişimleri yaparak bir psikiyatri uzmanına yönlendirebilmeleri,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9. Bedensel belirti bozuklukları ve ilişkili bozuklukların etiyolojisi ve ayırıcı tanısı hakkında bilgi sahibi olmaları ve hastayı psikiyatri uzmanına yönlendirebilmeleri,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>10.Cinsel işlev bozuklukları hakkında bilgi sahibi olmaları ve hastayı psikiyatri uzmanına yönlendirebilmeleri,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>11. Yeme bozuklukları hakkında bilgi sahibi olmaları ve hastayı psikiyatri uzmanına yönlendirebilmeleri,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12. Acil psikiyatrik hastaların </w:t>
      </w:r>
      <w:proofErr w:type="gramStart"/>
      <w:r>
        <w:rPr>
          <w:sz w:val="22"/>
          <w:szCs w:val="22"/>
        </w:rPr>
        <w:t>stabilizasyonunu</w:t>
      </w:r>
      <w:proofErr w:type="gramEnd"/>
      <w:r>
        <w:rPr>
          <w:sz w:val="22"/>
          <w:szCs w:val="22"/>
        </w:rPr>
        <w:t xml:space="preserve"> yapabilmeleri,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>13. Alkol-madde kötüye kullanımı ve bağımlılığı konusunda bilgi sahibi olabilmeleri, ilk müdahaleyi yapabilmeleri ve psikiyatri uzmanına sevk edebilmeleri,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>14. İntihar girişiminde bulunmuş ya da intihar riski olan hastada acil psikiyatrik girişim yapabilmeleri,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15. Bilişsel bozukluğu olan hastalara tanı koyabilmeleri, tedavi hakkında bilgi sahibi olmaları ve ön girişimleri yaparak bu hastaları psikiyatri uzmanına yönlendirebilmeleri,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16. Tıpta </w:t>
      </w:r>
      <w:proofErr w:type="spellStart"/>
      <w:r>
        <w:rPr>
          <w:sz w:val="22"/>
          <w:szCs w:val="22"/>
        </w:rPr>
        <w:t>biyopsikososyal</w:t>
      </w:r>
      <w:proofErr w:type="spellEnd"/>
      <w:r>
        <w:rPr>
          <w:sz w:val="22"/>
          <w:szCs w:val="22"/>
        </w:rPr>
        <w:t xml:space="preserve"> model ve bütüncül yaklaşımın önemi, hastalıklar üzerinde </w:t>
      </w:r>
      <w:proofErr w:type="spellStart"/>
      <w:r>
        <w:rPr>
          <w:sz w:val="22"/>
          <w:szCs w:val="22"/>
        </w:rPr>
        <w:t>psikososyal</w:t>
      </w:r>
      <w:proofErr w:type="spellEnd"/>
      <w:r>
        <w:rPr>
          <w:sz w:val="22"/>
          <w:szCs w:val="22"/>
        </w:rPr>
        <w:t xml:space="preserve"> etmenlerin rolü hakkında bilgi sahibi olmaları, psikosomatik hastalıkları ve psikiyatrik </w:t>
      </w:r>
      <w:proofErr w:type="gramStart"/>
      <w:r>
        <w:rPr>
          <w:sz w:val="22"/>
          <w:szCs w:val="22"/>
        </w:rPr>
        <w:t>konsültasyon</w:t>
      </w:r>
      <w:proofErr w:type="gramEnd"/>
      <w:r>
        <w:rPr>
          <w:sz w:val="22"/>
          <w:szCs w:val="22"/>
        </w:rPr>
        <w:t xml:space="preserve"> istenmesi gereken durumları öğrenebilmeleri,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17. Psikiyatrik bozukluklarda kullanılan ilaç tedavilerinin temel ilkelerini belirtebilmeleri,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 xml:space="preserve">18. Önemli ilaç etkileşimlerine yol açan </w:t>
      </w:r>
      <w:proofErr w:type="spellStart"/>
      <w:r>
        <w:rPr>
          <w:sz w:val="22"/>
          <w:szCs w:val="22"/>
        </w:rPr>
        <w:t>psikotrop</w:t>
      </w:r>
      <w:proofErr w:type="spellEnd"/>
      <w:r>
        <w:rPr>
          <w:sz w:val="22"/>
          <w:szCs w:val="22"/>
        </w:rPr>
        <w:t xml:space="preserve"> ilaçları öğrenmeleri, önemli etkileşimler sonucunda ortaya çıkan klinik tablolar, gebelik ve </w:t>
      </w:r>
      <w:proofErr w:type="spellStart"/>
      <w:r>
        <w:rPr>
          <w:sz w:val="22"/>
          <w:szCs w:val="22"/>
        </w:rPr>
        <w:t>laktasyon</w:t>
      </w:r>
      <w:proofErr w:type="spellEnd"/>
      <w:r>
        <w:rPr>
          <w:sz w:val="22"/>
          <w:szCs w:val="22"/>
        </w:rPr>
        <w:t xml:space="preserve"> döneminde </w:t>
      </w:r>
      <w:proofErr w:type="spellStart"/>
      <w:r>
        <w:rPr>
          <w:sz w:val="22"/>
          <w:szCs w:val="22"/>
        </w:rPr>
        <w:t>psikotrop</w:t>
      </w:r>
      <w:proofErr w:type="spellEnd"/>
      <w:r>
        <w:rPr>
          <w:sz w:val="22"/>
          <w:szCs w:val="22"/>
        </w:rPr>
        <w:t xml:space="preserve"> ilaç kullanımı hakkında bilgi sahibi olmaları, </w:t>
      </w:r>
    </w:p>
    <w:p w:rsidR="00D3098C" w:rsidRDefault="009C23FC" w:rsidP="00EE4755">
      <w:pPr>
        <w:rPr>
          <w:sz w:val="22"/>
          <w:szCs w:val="22"/>
        </w:rPr>
      </w:pPr>
      <w:r>
        <w:rPr>
          <w:sz w:val="22"/>
          <w:szCs w:val="22"/>
        </w:rPr>
        <w:t>19. Psikoterapiler hakkında bilgi sahibi olmaları hedeflenmektedir.</w:t>
      </w: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jc w:val="both"/>
        <w:rPr>
          <w:b/>
          <w:sz w:val="22"/>
          <w:szCs w:val="22"/>
        </w:rPr>
      </w:pPr>
    </w:p>
    <w:p w:rsidR="00D3098C" w:rsidRDefault="009C23FC" w:rsidP="00EE475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Öğretim Yöntem ve Teknikleri: </w:t>
      </w:r>
      <w:r>
        <w:rPr>
          <w:color w:val="000000"/>
          <w:sz w:val="22"/>
          <w:szCs w:val="22"/>
        </w:rPr>
        <w:t>Dersler öğretim üyeleri tarafından anlatılır, ancak sınıf içi tartışma ve öğrencinin dersi katılımı sağlanır. Pratik uygulama ile ders konuları pekiştirilir.</w:t>
      </w:r>
    </w:p>
    <w:p w:rsidR="00D3098C" w:rsidRDefault="00D3098C" w:rsidP="00EE4755">
      <w:pPr>
        <w:jc w:val="both"/>
        <w:rPr>
          <w:color w:val="000000"/>
          <w:sz w:val="22"/>
          <w:szCs w:val="22"/>
        </w:rPr>
      </w:pPr>
    </w:p>
    <w:p w:rsidR="00D3098C" w:rsidRDefault="00D3098C" w:rsidP="00EE4755">
      <w:pPr>
        <w:jc w:val="both"/>
        <w:rPr>
          <w:color w:val="000000"/>
          <w:sz w:val="22"/>
          <w:szCs w:val="22"/>
        </w:rPr>
      </w:pPr>
    </w:p>
    <w:p w:rsidR="00D3098C" w:rsidRDefault="009C23FC" w:rsidP="00EE4755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Önkoşul: </w:t>
      </w:r>
      <w:r>
        <w:rPr>
          <w:color w:val="000000"/>
          <w:sz w:val="22"/>
          <w:szCs w:val="22"/>
        </w:rPr>
        <w:t>Yok</w:t>
      </w:r>
    </w:p>
    <w:p w:rsidR="00D3098C" w:rsidRDefault="00D3098C" w:rsidP="00EE4755">
      <w:pPr>
        <w:jc w:val="both"/>
        <w:rPr>
          <w:b/>
          <w:color w:val="000000"/>
          <w:sz w:val="22"/>
          <w:szCs w:val="22"/>
        </w:rPr>
      </w:pPr>
    </w:p>
    <w:p w:rsidR="00D3098C" w:rsidRDefault="009C23FC" w:rsidP="00EE47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D3098C" w:rsidRDefault="009C23FC" w:rsidP="00EE4755">
      <w:pPr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>Öztürk O, Uluşahin A. Ruh Sağlığı ve Bozuklukları. Nobel Tıp Kitabevi</w:t>
      </w:r>
    </w:p>
    <w:p w:rsidR="00D3098C" w:rsidRDefault="009C23FC" w:rsidP="00EE4755">
      <w:pPr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KAPLAN &amp; SADOCK SYNOPSIS OF PSYCHIATRY Davranış Bilimleri/Klinik Psikiyatri-Güneş Tıp Kitabevleri</w:t>
      </w:r>
    </w:p>
    <w:p w:rsidR="00D3098C" w:rsidRDefault="00D3098C" w:rsidP="00EE4755">
      <w:pPr>
        <w:ind w:right="-110"/>
        <w:jc w:val="both"/>
        <w:rPr>
          <w:b/>
          <w:sz w:val="22"/>
          <w:szCs w:val="22"/>
        </w:rPr>
      </w:pPr>
    </w:p>
    <w:p w:rsidR="00D3098C" w:rsidRDefault="009C23FC" w:rsidP="00EE4755">
      <w:pPr>
        <w:ind w:right="-1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Yardımcı Kaynaklar:</w:t>
      </w:r>
    </w:p>
    <w:p w:rsidR="00D3098C" w:rsidRDefault="00D3098C" w:rsidP="00EE4755">
      <w:pPr>
        <w:ind w:right="-110"/>
        <w:jc w:val="both"/>
        <w:rPr>
          <w:b/>
          <w:sz w:val="22"/>
          <w:szCs w:val="22"/>
        </w:rPr>
      </w:pPr>
    </w:p>
    <w:p w:rsidR="00D3098C" w:rsidRDefault="009C23FC" w:rsidP="00EE4755">
      <w:pPr>
        <w:jc w:val="both"/>
        <w:rPr>
          <w:b/>
          <w:sz w:val="22"/>
          <w:szCs w:val="22"/>
        </w:rPr>
      </w:pPr>
      <w:bookmarkStart w:id="3" w:name="_heading=h.1fob9te" w:colFirst="0" w:colLast="0"/>
      <w:bookmarkEnd w:id="3"/>
      <w:r>
        <w:rPr>
          <w:sz w:val="22"/>
          <w:szCs w:val="22"/>
        </w:rPr>
        <w:t>DSM-5 Tanı Ölçütleri, Amerikan Psikiyatri Birliği. Hekimler Yayın Birliği</w:t>
      </w:r>
    </w:p>
    <w:p w:rsidR="00D3098C" w:rsidRDefault="00D3098C" w:rsidP="00EE4755">
      <w:pPr>
        <w:jc w:val="both"/>
        <w:rPr>
          <w:b/>
          <w:sz w:val="22"/>
          <w:szCs w:val="22"/>
        </w:rPr>
      </w:pPr>
    </w:p>
    <w:p w:rsidR="00D3098C" w:rsidRDefault="00D3098C" w:rsidP="00EE4755">
      <w:pPr>
        <w:jc w:val="both"/>
        <w:rPr>
          <w:sz w:val="22"/>
          <w:szCs w:val="22"/>
        </w:rPr>
      </w:pPr>
    </w:p>
    <w:p w:rsidR="00D3098C" w:rsidRDefault="009C23FC" w:rsidP="00EE4755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tbl>
      <w:tblPr>
        <w:tblStyle w:val="a0"/>
        <w:tblpPr w:leftFromText="141" w:rightFromText="141" w:vertAnchor="text" w:tblpY="911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D3098C">
        <w:tc>
          <w:tcPr>
            <w:tcW w:w="817" w:type="dxa"/>
            <w:shd w:val="clear" w:color="auto" w:fill="auto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Konular(not: Ders programındaki haftalara göre ders akış listesi)</w:t>
            </w:r>
          </w:p>
        </w:tc>
      </w:tr>
      <w:tr w:rsidR="00D3098C">
        <w:tc>
          <w:tcPr>
            <w:tcW w:w="817" w:type="dxa"/>
            <w:shd w:val="clear" w:color="auto" w:fill="auto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Psikiyatride öykü alma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Psikiyatrik belirtiler ve muayene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Şizofreni ve diğer psikozlar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Antipsikotik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tedaviler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Depresif bozukluklar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Antidepresan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tedaviler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Anksiyete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Anksiyete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bozuklukları tedavisi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İkiuçlu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bipolar</w:t>
            </w:r>
            <w:proofErr w:type="spellEnd"/>
            <w:r>
              <w:rPr>
                <w:color w:val="000000"/>
                <w:sz w:val="22"/>
                <w:szCs w:val="22"/>
              </w:rPr>
              <w:t>) bozukluklar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İki uçlu bozukluğun tedavisi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Obsesif </w:t>
            </w:r>
            <w:proofErr w:type="spellStart"/>
            <w:r>
              <w:rPr>
                <w:color w:val="000000"/>
                <w:sz w:val="22"/>
                <w:szCs w:val="22"/>
              </w:rPr>
              <w:t>kompulsif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spektrum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Somatoform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bozukluklar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Deliriyum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ve </w:t>
            </w:r>
            <w:proofErr w:type="spellStart"/>
            <w:r>
              <w:rPr>
                <w:color w:val="000000"/>
                <w:sz w:val="22"/>
                <w:szCs w:val="22"/>
              </w:rPr>
              <w:t>demans</w:t>
            </w:r>
            <w:proofErr w:type="spellEnd"/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Deliriyum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ve </w:t>
            </w:r>
            <w:proofErr w:type="spellStart"/>
            <w:r>
              <w:rPr>
                <w:color w:val="000000"/>
                <w:sz w:val="22"/>
                <w:szCs w:val="22"/>
              </w:rPr>
              <w:t>demans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tedavisi</w:t>
            </w:r>
          </w:p>
          <w:p w:rsidR="00D3098C" w:rsidRDefault="00D3098C" w:rsidP="00EE4755">
            <w:pPr>
              <w:rPr>
                <w:color w:val="000000"/>
                <w:sz w:val="22"/>
                <w:szCs w:val="22"/>
              </w:rPr>
            </w:pPr>
          </w:p>
        </w:tc>
      </w:tr>
      <w:tr w:rsidR="00D3098C">
        <w:tc>
          <w:tcPr>
            <w:tcW w:w="817" w:type="dxa"/>
            <w:shd w:val="clear" w:color="auto" w:fill="auto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623" w:type="dxa"/>
            <w:shd w:val="clear" w:color="auto" w:fill="auto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Travma ile ilgili bozukluklar tanı ve tedavisi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Cinsel işlev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Yeme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Uyku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Kişilik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Alkol bağımlılığı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Madde bağımlılığı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Dürtü kontrol bozuklukları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Yapay bozukluk ve temaruz</w:t>
            </w:r>
          </w:p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Acil tedaviler</w:t>
            </w:r>
          </w:p>
          <w:p w:rsidR="00D3098C" w:rsidRDefault="00D3098C" w:rsidP="00EE4755">
            <w:pPr>
              <w:rPr>
                <w:color w:val="000000"/>
                <w:sz w:val="22"/>
                <w:szCs w:val="22"/>
              </w:rPr>
            </w:pPr>
          </w:p>
        </w:tc>
      </w:tr>
      <w:tr w:rsidR="00D3098C">
        <w:tc>
          <w:tcPr>
            <w:tcW w:w="817" w:type="dxa"/>
            <w:shd w:val="clear" w:color="auto" w:fill="auto"/>
          </w:tcPr>
          <w:p w:rsidR="00D3098C" w:rsidRDefault="00D3098C" w:rsidP="00EE475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23" w:type="dxa"/>
            <w:shd w:val="clear" w:color="auto" w:fill="auto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SINAV</w:t>
            </w:r>
          </w:p>
        </w:tc>
      </w:tr>
    </w:tbl>
    <w:p w:rsidR="00D3098C" w:rsidRDefault="00D3098C" w:rsidP="00EE4755">
      <w:pPr>
        <w:jc w:val="both"/>
        <w:rPr>
          <w:b/>
          <w:sz w:val="22"/>
          <w:szCs w:val="22"/>
        </w:rPr>
      </w:pPr>
    </w:p>
    <w:p w:rsidR="00D3098C" w:rsidRDefault="00D3098C" w:rsidP="00EE4755">
      <w:pPr>
        <w:jc w:val="both"/>
        <w:rPr>
          <w:b/>
          <w:sz w:val="22"/>
          <w:szCs w:val="22"/>
        </w:rPr>
      </w:pPr>
    </w:p>
    <w:p w:rsidR="00D3098C" w:rsidRDefault="00D3098C" w:rsidP="00EE4755">
      <w:pPr>
        <w:ind w:firstLine="720"/>
        <w:jc w:val="both"/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164C26" w:rsidRDefault="00164C26" w:rsidP="00EE4755">
      <w:pPr>
        <w:rPr>
          <w:b/>
          <w:sz w:val="22"/>
          <w:szCs w:val="22"/>
        </w:rPr>
      </w:pPr>
    </w:p>
    <w:p w:rsidR="00164C26" w:rsidRDefault="00164C26" w:rsidP="00EE4755">
      <w:pPr>
        <w:rPr>
          <w:b/>
          <w:sz w:val="22"/>
          <w:szCs w:val="22"/>
        </w:rPr>
      </w:pPr>
    </w:p>
    <w:p w:rsidR="00164C26" w:rsidRDefault="00164C26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D3098C" w:rsidP="00EE4755">
      <w:pPr>
        <w:rPr>
          <w:b/>
          <w:sz w:val="22"/>
          <w:szCs w:val="22"/>
        </w:rPr>
      </w:pPr>
    </w:p>
    <w:p w:rsidR="00D3098C" w:rsidRDefault="009C23FC" w:rsidP="00EE47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D3098C" w:rsidRDefault="00D3098C" w:rsidP="00EE4755">
      <w:pPr>
        <w:rPr>
          <w:b/>
          <w:color w:val="000000"/>
          <w:sz w:val="22"/>
          <w:szCs w:val="22"/>
        </w:rPr>
      </w:pP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32"/>
        <w:gridCol w:w="375"/>
        <w:gridCol w:w="374"/>
        <w:gridCol w:w="375"/>
        <w:gridCol w:w="326"/>
        <w:gridCol w:w="375"/>
      </w:tblGrid>
      <w:tr w:rsidR="00D3098C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32" w:type="dxa"/>
            <w:vMerge w:val="restart"/>
            <w:tcBorders>
              <w:top w:val="single" w:sz="12" w:space="0" w:color="000000"/>
            </w:tcBorders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 Yeterlilikleri / Çıktıları</w:t>
            </w:r>
          </w:p>
        </w:tc>
        <w:tc>
          <w:tcPr>
            <w:tcW w:w="1825" w:type="dxa"/>
            <w:gridSpan w:val="5"/>
            <w:tcBorders>
              <w:top w:val="single" w:sz="12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*Katkı Düzeyi</w:t>
            </w:r>
          </w:p>
        </w:tc>
      </w:tr>
      <w:tr w:rsidR="00D3098C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D3098C" w:rsidRDefault="00D3098C" w:rsidP="00EE4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32" w:type="dxa"/>
            <w:vMerge/>
            <w:tcBorders>
              <w:top w:val="single" w:sz="12" w:space="0" w:color="000000"/>
            </w:tcBorders>
          </w:tcPr>
          <w:p w:rsidR="00D3098C" w:rsidRDefault="00D3098C" w:rsidP="00EE4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D3098C">
        <w:trPr>
          <w:trHeight w:val="233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250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250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D3098C">
        <w:trPr>
          <w:trHeight w:val="534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D3098C">
        <w:trPr>
          <w:trHeight w:val="233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D3098C">
        <w:trPr>
          <w:trHeight w:val="608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232" w:type="dxa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D3098C">
        <w:trPr>
          <w:trHeight w:val="590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233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438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D3098C">
        <w:trPr>
          <w:trHeight w:val="250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232" w:type="dxa"/>
          </w:tcPr>
          <w:p w:rsidR="00D3098C" w:rsidRDefault="009C23FC" w:rsidP="00EE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098C">
        <w:trPr>
          <w:trHeight w:val="250"/>
        </w:trPr>
        <w:tc>
          <w:tcPr>
            <w:tcW w:w="456" w:type="dxa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2" w:type="dxa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color w:val="000000"/>
                <w:sz w:val="22"/>
                <w:szCs w:val="22"/>
              </w:rPr>
              <w:t>literatürü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D3098C" w:rsidRDefault="009C23FC" w:rsidP="00EE47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74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D3098C" w:rsidRDefault="00D3098C" w:rsidP="00EE4755">
      <w:pPr>
        <w:rPr>
          <w:b/>
          <w:color w:val="000000"/>
          <w:sz w:val="22"/>
          <w:szCs w:val="22"/>
        </w:rPr>
      </w:pPr>
    </w:p>
    <w:p w:rsidR="00D3098C" w:rsidRDefault="009C23FC" w:rsidP="00EE4755">
      <w:pPr>
        <w:tabs>
          <w:tab w:val="left" w:pos="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*1 en düşük, 2 düşük, 3 orta, 4 yüksek, 5 en yüksek ya da tamamen/kısmen şeklinde de belirtilebilir.</w:t>
      </w:r>
    </w:p>
    <w:p w:rsidR="00D3098C" w:rsidRDefault="00D3098C" w:rsidP="00EE4755">
      <w:pPr>
        <w:rPr>
          <w:b/>
          <w:color w:val="000000"/>
          <w:sz w:val="22"/>
          <w:szCs w:val="22"/>
        </w:rPr>
      </w:pPr>
    </w:p>
    <w:p w:rsidR="00D3098C" w:rsidRDefault="00D3098C" w:rsidP="00EE4755">
      <w:pPr>
        <w:rPr>
          <w:b/>
          <w:color w:val="000000"/>
          <w:sz w:val="22"/>
          <w:szCs w:val="22"/>
        </w:rPr>
      </w:pPr>
    </w:p>
    <w:p w:rsidR="00D3098C" w:rsidRDefault="00D3098C" w:rsidP="00EE4755">
      <w:pPr>
        <w:rPr>
          <w:b/>
          <w:color w:val="000000"/>
          <w:sz w:val="22"/>
          <w:szCs w:val="22"/>
        </w:rPr>
      </w:pPr>
    </w:p>
    <w:p w:rsidR="00D3098C" w:rsidRDefault="00D3098C" w:rsidP="00EE4755">
      <w:pPr>
        <w:rPr>
          <w:b/>
          <w:color w:val="000000"/>
          <w:sz w:val="22"/>
          <w:szCs w:val="22"/>
        </w:rPr>
      </w:pPr>
    </w:p>
    <w:p w:rsidR="00D3098C" w:rsidRDefault="009C23FC" w:rsidP="00EE4755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Süresi (Saat)</w:t>
            </w:r>
          </w:p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Default="009C23FC" w:rsidP="00EE47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Toplam</w:t>
            </w:r>
            <w:r>
              <w:rPr>
                <w:b/>
                <w:color w:val="000000"/>
                <w:sz w:val="22"/>
                <w:szCs w:val="22"/>
              </w:rPr>
              <w:br/>
              <w:t>İş Yükü</w:t>
            </w:r>
          </w:p>
          <w:p w:rsidR="00D3098C" w:rsidRDefault="00D3098C" w:rsidP="00EE47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44BB">
        <w:tc>
          <w:tcPr>
            <w:tcW w:w="5353" w:type="dxa"/>
            <w:vAlign w:val="center"/>
          </w:tcPr>
          <w:p w:rsidR="00E344BB" w:rsidRDefault="00E344BB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 Süresi</w:t>
            </w:r>
            <w:r>
              <w:rPr>
                <w:color w:val="000000"/>
                <w:sz w:val="22"/>
                <w:szCs w:val="22"/>
              </w:rPr>
              <w:t xml:space="preserve">(Sınav haftası </w:t>
            </w:r>
            <w:proofErr w:type="gramStart"/>
            <w:r>
              <w:rPr>
                <w:color w:val="000000"/>
                <w:sz w:val="22"/>
                <w:szCs w:val="22"/>
              </w:rPr>
              <w:t>dahildir</w:t>
            </w:r>
            <w:proofErr w:type="gramEnd"/>
            <w:r>
              <w:rPr>
                <w:color w:val="000000"/>
                <w:sz w:val="22"/>
                <w:szCs w:val="22"/>
              </w:rPr>
              <w:t>: 2x toplam ders saati)</w:t>
            </w: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33</w:t>
            </w:r>
          </w:p>
        </w:tc>
      </w:tr>
      <w:tr w:rsidR="00E344BB">
        <w:tc>
          <w:tcPr>
            <w:tcW w:w="5353" w:type="dxa"/>
            <w:vAlign w:val="center"/>
          </w:tcPr>
          <w:p w:rsidR="00E344BB" w:rsidRDefault="00E344BB" w:rsidP="00EE4755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44BB">
        <w:tc>
          <w:tcPr>
            <w:tcW w:w="5353" w:type="dxa"/>
            <w:vAlign w:val="center"/>
          </w:tcPr>
          <w:p w:rsidR="00E344BB" w:rsidRDefault="00E344BB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44BB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37</w:t>
            </w: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Derse Özgü Staj </w:t>
            </w:r>
            <w:r>
              <w:rPr>
                <w:color w:val="000000"/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Sınıf Dışı Ders Çalışma Süresi</w:t>
            </w:r>
            <w:r>
              <w:rPr>
                <w:color w:val="000000"/>
                <w:sz w:val="22"/>
                <w:szCs w:val="22"/>
              </w:rPr>
              <w:t xml:space="preserve"> (Ön çalışma, pekiştirme)</w:t>
            </w:r>
          </w:p>
          <w:p w:rsidR="00D3098C" w:rsidRDefault="00D3098C" w:rsidP="00EE475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sz w:val="22"/>
                <w:szCs w:val="22"/>
              </w:rPr>
            </w:pP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098C">
        <w:tc>
          <w:tcPr>
            <w:tcW w:w="5353" w:type="dxa"/>
            <w:vAlign w:val="center"/>
          </w:tcPr>
          <w:p w:rsidR="00D3098C" w:rsidRDefault="009C23FC" w:rsidP="00EE475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D3098C" w:rsidRPr="00164C26" w:rsidRDefault="009C23FC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9C23FC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1</w:t>
            </w:r>
          </w:p>
        </w:tc>
      </w:tr>
      <w:tr w:rsidR="00D3098C">
        <w:tc>
          <w:tcPr>
            <w:tcW w:w="5353" w:type="dxa"/>
          </w:tcPr>
          <w:p w:rsidR="00D3098C" w:rsidRDefault="009C23FC" w:rsidP="00EE4755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3098C" w:rsidRPr="00164C26" w:rsidRDefault="00E344BB" w:rsidP="00EE4755">
            <w:pPr>
              <w:jc w:val="center"/>
              <w:rPr>
                <w:b/>
                <w:sz w:val="22"/>
                <w:szCs w:val="22"/>
              </w:rPr>
            </w:pPr>
            <w:r w:rsidRPr="00164C26">
              <w:rPr>
                <w:b/>
                <w:sz w:val="22"/>
                <w:szCs w:val="22"/>
              </w:rPr>
              <w:t>68</w:t>
            </w:r>
          </w:p>
        </w:tc>
      </w:tr>
    </w:tbl>
    <w:p w:rsidR="00D3098C" w:rsidRDefault="00D3098C" w:rsidP="00EE4755">
      <w:pPr>
        <w:rPr>
          <w:color w:val="000000"/>
          <w:sz w:val="22"/>
          <w:szCs w:val="22"/>
        </w:rPr>
      </w:pPr>
    </w:p>
    <w:p w:rsidR="00D3098C" w:rsidRDefault="00D3098C" w:rsidP="00EE4755">
      <w:pPr>
        <w:rPr>
          <w:color w:val="000000"/>
          <w:sz w:val="22"/>
          <w:szCs w:val="22"/>
        </w:rPr>
      </w:pPr>
    </w:p>
    <w:p w:rsidR="00D3098C" w:rsidRDefault="009C23FC" w:rsidP="00EE47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DEĞERLENDİRME SİSTEMİ </w:t>
      </w: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D3098C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D3098C" w:rsidRDefault="00D3098C" w:rsidP="00EE4755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D3098C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Derslere ve pratiklere aktif katılım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%10</w:t>
            </w:r>
          </w:p>
        </w:tc>
      </w:tr>
      <w:tr w:rsidR="00D3098C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 Sınavı (yazılı)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%50 </w:t>
            </w:r>
          </w:p>
        </w:tc>
      </w:tr>
      <w:tr w:rsidR="00D3098C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 sınavı (sözlü)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D3098C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8C" w:rsidRDefault="009C23FC" w:rsidP="00EE47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D3098C" w:rsidP="00EE47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8C" w:rsidRDefault="009C23FC" w:rsidP="00EE4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D3098C" w:rsidRDefault="00D3098C" w:rsidP="00EE4755">
      <w:pPr>
        <w:rPr>
          <w:color w:val="000000"/>
          <w:sz w:val="22"/>
          <w:szCs w:val="22"/>
        </w:rPr>
      </w:pPr>
    </w:p>
    <w:sectPr w:rsidR="00D3098C">
      <w:headerReference w:type="default" r:id="rId9"/>
      <w:footerReference w:type="default" r:id="rId10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C2" w:rsidRDefault="004464C2">
      <w:r>
        <w:separator/>
      </w:r>
    </w:p>
  </w:endnote>
  <w:endnote w:type="continuationSeparator" w:id="0">
    <w:p w:rsidR="004464C2" w:rsidRDefault="0044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8C" w:rsidRDefault="009C23FC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F53D34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F53D34">
      <w:rPr>
        <w:noProof/>
        <w:color w:val="17365D"/>
      </w:rPr>
      <w:t>4</w:t>
    </w:r>
    <w:r>
      <w:rPr>
        <w:color w:val="17365D"/>
      </w:rPr>
      <w:fldChar w:fldCharType="end"/>
    </w:r>
  </w:p>
  <w:p w:rsidR="00D3098C" w:rsidRDefault="00D309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C2" w:rsidRDefault="004464C2">
      <w:r>
        <w:separator/>
      </w:r>
    </w:p>
  </w:footnote>
  <w:footnote w:type="continuationSeparator" w:id="0">
    <w:p w:rsidR="004464C2" w:rsidRDefault="0044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34" w:rsidRDefault="00F53D34">
    <w:pPr>
      <w:pStyle w:val="stbilgi"/>
    </w:pPr>
    <w:r>
      <w:rPr>
        <w:noProof/>
        <w:lang w:eastAsia="tr-TR"/>
      </w:rPr>
      <w:t xml:space="preserve">                                               </w:t>
    </w:r>
    <w:r>
      <w:rPr>
        <w:noProof/>
        <w:lang w:eastAsia="tr-TR"/>
      </w:rPr>
      <w:drawing>
        <wp:inline distT="0" distB="0" distL="0" distR="0" wp14:anchorId="592E3644" wp14:editId="5CE4B6C7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D3098C" w:rsidRDefault="00D309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98C"/>
    <w:rsid w:val="000420F2"/>
    <w:rsid w:val="00164C26"/>
    <w:rsid w:val="001D0FF2"/>
    <w:rsid w:val="004464C2"/>
    <w:rsid w:val="00463996"/>
    <w:rsid w:val="006C5BAB"/>
    <w:rsid w:val="00767C74"/>
    <w:rsid w:val="009C23FC"/>
    <w:rsid w:val="00D3098C"/>
    <w:rsid w:val="00E344BB"/>
    <w:rsid w:val="00EE4755"/>
    <w:rsid w:val="00F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A17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044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044F4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A17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044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044F4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a.bozkurt@yeniyuzyil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CzdubNnBOqgoUrvYBv/C8g3zw==">CgMxLjAyCGguZ2pkZ3hzMgloLjMwajB6bGwyCWguMWZvYjl0ZTgAciExSE84TjFaX3l2N3dMLTNHT1ItSTZKa2xKMV96bzNlRHI=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8</cp:revision>
  <dcterms:created xsi:type="dcterms:W3CDTF">2019-08-21T09:04:00Z</dcterms:created>
  <dcterms:modified xsi:type="dcterms:W3CDTF">2025-01-03T10:51:00Z</dcterms:modified>
</cp:coreProperties>
</file>